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00" w:type="dxa"/>
        <w:tblInd w:w="-5" w:type="dxa"/>
        <w:tblCellMar>
          <w:left w:w="0" w:type="dxa"/>
          <w:right w:w="0" w:type="dxa"/>
        </w:tblCellMar>
        <w:tblLook w:val="04A0" w:firstRow="1" w:lastRow="0" w:firstColumn="1" w:lastColumn="0" w:noHBand="0" w:noVBand="1"/>
      </w:tblPr>
      <w:tblGrid>
        <w:gridCol w:w="1385"/>
        <w:gridCol w:w="60"/>
        <w:gridCol w:w="4827"/>
        <w:gridCol w:w="4135"/>
        <w:gridCol w:w="30"/>
        <w:gridCol w:w="1889"/>
        <w:gridCol w:w="15"/>
        <w:gridCol w:w="2059"/>
      </w:tblGrid>
      <w:tr w:rsidR="00000000">
        <w:trPr>
          <w:trHeight w:val="1340"/>
        </w:trPr>
        <w:tc>
          <w:tcPr>
            <w:tcW w:w="626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60483F">
            <w:pPr>
              <w:pStyle w:val="paragraph"/>
              <w:spacing w:before="0" w:beforeAutospacing="0" w:after="0" w:afterAutospacing="0"/>
              <w:textAlignment w:val="baseline"/>
              <w:divId w:val="410469421"/>
            </w:pPr>
            <w:bookmarkStart w:id="0" w:name="_GoBack"/>
            <w:bookmarkEnd w:id="0"/>
            <w:r>
              <w:rPr>
                <w:rStyle w:val="eop"/>
                <w:sz w:val="31"/>
                <w:szCs w:val="31"/>
              </w:rPr>
              <w:t> </w:t>
            </w:r>
          </w:p>
          <w:p w:rsidR="00000000" w:rsidRDefault="0060483F">
            <w:pPr>
              <w:divId w:val="159858613"/>
            </w:pPr>
            <w:r>
              <w:rPr>
                <w:rStyle w:val="normaltextrun"/>
                <w:rFonts w:ascii="Cambria" w:hAnsi="Cambria"/>
                <w:b/>
                <w:bCs/>
              </w:rPr>
              <w:t>Hoke County Schools (470)</w:t>
            </w:r>
            <w:r>
              <w:rPr>
                <w:rStyle w:val="normaltextrun"/>
                <w:rFonts w:ascii="Cambria" w:hAnsi="Cambria"/>
                <w:b/>
                <w:bCs/>
              </w:rPr>
              <w:br/>
              <w:t>2021–22</w:t>
            </w:r>
            <w:r>
              <w:rPr>
                <w:rStyle w:val="eop"/>
                <w:rFonts w:ascii="Cambria" w:hAnsi="Cambria"/>
              </w:rPr>
              <w:t> </w:t>
            </w:r>
          </w:p>
          <w:p w:rsidR="00000000" w:rsidRDefault="0060483F">
            <w:r>
              <w:rPr>
                <w:rStyle w:val="normaltextrun"/>
                <w:rFonts w:ascii="Cambria" w:hAnsi="Cambria"/>
                <w:b/>
                <w:bCs/>
              </w:rPr>
              <w:t>Read to Achieve Grade 3 End-of-Year (EOY) Results</w:t>
            </w:r>
            <w:r>
              <w:rPr>
                <w:rStyle w:val="eop"/>
                <w:rFonts w:ascii="Cambria" w:hAnsi="Cambria"/>
              </w:rPr>
              <w:t> </w:t>
            </w:r>
          </w:p>
        </w:tc>
        <w:tc>
          <w:tcPr>
            <w:tcW w:w="813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60483F">
            <w:r>
              <w:rPr>
                <w:rStyle w:val="normaltextrun"/>
                <w:rFonts w:ascii="Cambria" w:hAnsi="Cambria"/>
              </w:rPr>
              <w:t xml:space="preserve">G.S. ?115C-83.10 requires "each local board of education to publish annually on a website maintained by that local school administrative unit and report </w:t>
            </w:r>
            <w:r>
              <w:rPr>
                <w:rStyle w:val="normaltextrun"/>
                <w:rFonts w:ascii="Cambria" w:hAnsi="Cambria"/>
              </w:rPr>
              <w:t>in writing to the State Board of Education (SBE) by September 1</w:t>
            </w:r>
            <w:r>
              <w:rPr>
                <w:rStyle w:val="normaltextrun"/>
                <w:rFonts w:ascii="Cambria" w:hAnsi="Cambria"/>
                <w:b/>
                <w:bCs/>
              </w:rPr>
              <w:t> </w:t>
            </w:r>
            <w:r>
              <w:rPr>
                <w:rStyle w:val="normaltextrun"/>
                <w:rFonts w:ascii="Cambria" w:hAnsi="Cambria"/>
              </w:rPr>
              <w:t>of each year the following information on the prior school year:"</w:t>
            </w:r>
            <w:r>
              <w:rPr>
                <w:rStyle w:val="eop"/>
                <w:rFonts w:ascii="Cambria" w:hAnsi="Cambria"/>
              </w:rPr>
              <w:t> </w:t>
            </w:r>
          </w:p>
        </w:tc>
      </w:tr>
      <w:tr w:rsidR="00000000">
        <w:trPr>
          <w:trHeight w:val="698"/>
        </w:trPr>
        <w:tc>
          <w:tcPr>
            <w:tcW w:w="10406" w:type="dxa"/>
            <w:gridSpan w:val="4"/>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000000" w:rsidRDefault="0060483F">
            <w:r>
              <w:rPr>
                <w:rFonts w:ascii="Times New Roman" w:hAnsi="Times New Roman" w:cs="Times New Roman"/>
                <w:b/>
                <w:bCs/>
                <w:color w:val="000000"/>
              </w:rPr>
              <w:t> </w:t>
            </w:r>
          </w:p>
        </w:tc>
        <w:tc>
          <w:tcPr>
            <w:tcW w:w="193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60483F">
            <w:r>
              <w:rPr>
                <w:rStyle w:val="normaltextrun"/>
                <w:rFonts w:ascii="Cambria" w:hAnsi="Cambria"/>
                <w:b/>
                <w:bCs/>
              </w:rPr>
              <w:t>Number of Students</w:t>
            </w:r>
            <w:r>
              <w:rPr>
                <w:rStyle w:val="eop"/>
                <w:rFonts w:ascii="Cambria" w:hAnsi="Cambria"/>
              </w:rPr>
              <w:t> </w:t>
            </w:r>
          </w:p>
        </w:tc>
        <w:tc>
          <w:tcPr>
            <w:tcW w:w="20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60483F">
            <w:r>
              <w:rPr>
                <w:rStyle w:val="normaltextrun"/>
                <w:rFonts w:ascii="Cambria" w:hAnsi="Cambria"/>
                <w:b/>
                <w:bCs/>
              </w:rPr>
              <w:t>Percentage of Students</w:t>
            </w:r>
            <w:r>
              <w:rPr>
                <w:rStyle w:val="eop"/>
                <w:rFonts w:ascii="Cambria" w:hAnsi="Cambria"/>
              </w:rPr>
              <w:t> </w:t>
            </w:r>
          </w:p>
        </w:tc>
      </w:tr>
      <w:tr w:rsidR="00000000">
        <w:trPr>
          <w:trHeight w:val="806"/>
        </w:trPr>
        <w:tc>
          <w:tcPr>
            <w:tcW w:w="14400" w:type="dxa"/>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60483F">
            <w:bookmarkStart w:id="1" w:name="_Hlk509560378"/>
            <w:r>
              <w:rPr>
                <w:rStyle w:val="normaltextrun"/>
                <w:rFonts w:ascii="Cambria" w:hAnsi="Cambria"/>
                <w:color w:val="000000"/>
              </w:rPr>
              <w:t xml:space="preserve">The denominator for </w:t>
            </w:r>
            <w:r>
              <w:rPr>
                <w:rStyle w:val="normaltextrun"/>
                <w:rFonts w:ascii="Cambria" w:hAnsi="Cambria"/>
                <w:color w:val="000000"/>
              </w:rPr>
              <w:t>calculating the required percentages for rows 1 and 2 is all students in membership at grade 3 for the first day of spring testing. The denominator for this school is 689.</w:t>
            </w:r>
            <w:bookmarkEnd w:id="1"/>
            <w:r>
              <w:rPr>
                <w:rStyle w:val="eop"/>
                <w:rFonts w:ascii="Cambria" w:hAnsi="Cambria"/>
                <w:color w:val="000000"/>
              </w:rPr>
              <w:t> </w:t>
            </w:r>
          </w:p>
        </w:tc>
      </w:tr>
      <w:tr w:rsidR="00000000">
        <w:trPr>
          <w:trHeight w:val="981"/>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1</w:t>
            </w:r>
          </w:p>
        </w:tc>
        <w:tc>
          <w:tcPr>
            <w:tcW w:w="901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60483F">
            <w:r>
              <w:rPr>
                <w:rStyle w:val="normaltextrun"/>
                <w:rFonts w:ascii="Cambria" w:hAnsi="Cambria"/>
              </w:rPr>
              <w:t>Demonstrated reading proficiency on the Beginning-of-Grade 3 (BOG3) Readi</w:t>
            </w:r>
            <w:r>
              <w:rPr>
                <w:rStyle w:val="normaltextrun"/>
                <w:rFonts w:ascii="Cambria" w:hAnsi="Cambria"/>
              </w:rPr>
              <w:t>ng Test, the End-of-Grade (EOG) Reading Test, or the EOG Reading Retest (i.e., scored Level 3 or higher).</w:t>
            </w:r>
            <w:r>
              <w:rPr>
                <w:rStyle w:val="eop"/>
                <w:rFonts w:ascii="Cambria" w:hAnsi="Cambria"/>
              </w:rPr>
              <w:t> </w:t>
            </w:r>
          </w:p>
        </w:tc>
        <w:tc>
          <w:tcPr>
            <w:tcW w:w="193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262</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38.0%</w:t>
            </w:r>
          </w:p>
        </w:tc>
      </w:tr>
      <w:tr w:rsidR="00000000">
        <w:trPr>
          <w:trHeight w:val="752"/>
        </w:trPr>
        <w:tc>
          <w:tcPr>
            <w:tcW w:w="13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2</w:t>
            </w:r>
          </w:p>
        </w:tc>
        <w:tc>
          <w:tcPr>
            <w:tcW w:w="901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60483F">
            <w:r>
              <w:rPr>
                <w:rStyle w:val="normaltextrun"/>
                <w:rFonts w:ascii="Cambria" w:hAnsi="Cambria"/>
              </w:rPr>
              <w:t>Did </w:t>
            </w:r>
            <w:r>
              <w:rPr>
                <w:rStyle w:val="normaltextrun"/>
                <w:rFonts w:ascii="Cambria" w:hAnsi="Cambria"/>
                <w:u w:val="single"/>
              </w:rPr>
              <w:t>not </w:t>
            </w:r>
            <w:r>
              <w:rPr>
                <w:rStyle w:val="normaltextrun"/>
                <w:rFonts w:ascii="Cambria" w:hAnsi="Cambria"/>
              </w:rPr>
              <w:t>demonstrate reading proficiency on the BOG3 Reading Test, the EOG Reading Test, or the EOG Reading Retest</w:t>
            </w:r>
            <w:r>
              <w:rPr>
                <w:rStyle w:val="eop"/>
                <w:rFonts w:ascii="Cambria" w:hAnsi="Cambria"/>
              </w:rPr>
              <w:t> </w:t>
            </w:r>
          </w:p>
        </w:tc>
        <w:tc>
          <w:tcPr>
            <w:tcW w:w="193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427</w:t>
            </w:r>
          </w:p>
        </w:tc>
        <w:tc>
          <w:tcPr>
            <w:tcW w:w="2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62.0%</w:t>
            </w:r>
          </w:p>
        </w:tc>
      </w:tr>
      <w:tr w:rsidR="00000000">
        <w:trPr>
          <w:trHeight w:val="533"/>
        </w:trPr>
        <w:tc>
          <w:tcPr>
            <w:tcW w:w="144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60483F">
            <w:r>
              <w:rPr>
                <w:rStyle w:val="normaltextrun"/>
                <w:rFonts w:ascii="Cambria" w:hAnsi="Cambria"/>
                <w:color w:val="000000"/>
              </w:rPr>
              <w:t>The number and percentage of students exempt from mandatory retention in third grade by category of good cause. Students may be counted in only one of these categories. Denominator for each category in row 3 is row 2.</w:t>
            </w:r>
            <w:r>
              <w:rPr>
                <w:rStyle w:val="eop"/>
                <w:rFonts w:ascii="Cambria" w:hAnsi="Cambria"/>
                <w:color w:val="000000"/>
              </w:rPr>
              <w:t> </w:t>
            </w:r>
          </w:p>
        </w:tc>
      </w:tr>
      <w:tr w:rsidR="00000000">
        <w:trPr>
          <w:trHeight w:val="702"/>
        </w:trPr>
        <w:tc>
          <w:tcPr>
            <w:tcW w:w="1440"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3</w:t>
            </w:r>
          </w:p>
        </w:tc>
        <w:tc>
          <w:tcPr>
            <w:tcW w:w="90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60483F">
            <w:pPr>
              <w:pStyle w:val="ListParagraph"/>
              <w:spacing w:after="0" w:line="240" w:lineRule="auto"/>
              <w:ind w:left="360" w:hanging="360"/>
            </w:pPr>
            <w:r>
              <w:rPr>
                <w:rFonts w:ascii="Times New Roman" w:hAnsi="Times New Roman" w:cs="Times New Roman"/>
              </w:rPr>
              <w:t>a.</w:t>
            </w:r>
            <w:r>
              <w:rPr>
                <w:rFonts w:ascii="Times New Roman" w:hAnsi="Times New Roman" w:cs="Times New Roman"/>
                <w:sz w:val="14"/>
                <w:szCs w:val="14"/>
              </w:rPr>
              <w:t xml:space="preserve">       </w:t>
            </w:r>
            <w:r>
              <w:rPr>
                <w:rStyle w:val="normaltextrun"/>
                <w:rFonts w:ascii="Cambria" w:hAnsi="Cambria"/>
              </w:rPr>
              <w:t xml:space="preserve">Students </w:t>
            </w:r>
            <w:r>
              <w:rPr>
                <w:rStyle w:val="normaltextrun"/>
                <w:rFonts w:ascii="Cambria" w:hAnsi="Cambria"/>
              </w:rPr>
              <w:t>who took and passed an alternative assessment approved by the SBE (i.e., State-approved formative and diagnostic assessment system (Amplify DIBELS 8), Read to Achieve Test, or locally determined SBE-approved alternative assessment).</w:t>
            </w:r>
            <w:r>
              <w:rPr>
                <w:rStyle w:val="eop"/>
                <w:rFonts w:ascii="Cambria" w:hAnsi="Cambria"/>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122</w:t>
            </w:r>
          </w:p>
        </w:tc>
        <w:tc>
          <w:tcPr>
            <w:tcW w:w="20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28.6%</w:t>
            </w:r>
          </w:p>
        </w:tc>
      </w:tr>
      <w:tr w:rsidR="00000000">
        <w:trPr>
          <w:trHeight w:val="702"/>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60483F"/>
        </w:tc>
        <w:tc>
          <w:tcPr>
            <w:tcW w:w="90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60483F">
            <w:pPr>
              <w:pStyle w:val="ListParagraph"/>
              <w:spacing w:after="0" w:line="240" w:lineRule="auto"/>
              <w:ind w:left="360" w:hanging="360"/>
            </w:pPr>
            <w:r>
              <w:rPr>
                <w:rFonts w:ascii="Times New Roman" w:hAnsi="Times New Roman" w:cs="Times New Roman"/>
                <w:lang w:val="en"/>
              </w:rPr>
              <w:t>b.</w:t>
            </w:r>
            <w:r>
              <w:rPr>
                <w:rFonts w:ascii="Times New Roman" w:hAnsi="Times New Roman" w:cs="Times New Roman"/>
                <w:sz w:val="14"/>
                <w:szCs w:val="14"/>
                <w:lang w:val="en"/>
              </w:rPr>
              <w:t>    </w:t>
            </w:r>
            <w:r>
              <w:rPr>
                <w:rFonts w:ascii="Times New Roman" w:hAnsi="Times New Roman" w:cs="Times New Roman"/>
                <w:sz w:val="14"/>
                <w:szCs w:val="14"/>
                <w:lang w:val="en"/>
              </w:rPr>
              <w:t xml:space="preserve">   </w:t>
            </w:r>
            <w:r>
              <w:rPr>
                <w:rStyle w:val="normaltextrun"/>
                <w:rFonts w:ascii="Cambria" w:hAnsi="Cambria"/>
              </w:rPr>
              <w:t>English Learner students with less than two school years of instruction in an English as a Second Language [ESL] program.</w:t>
            </w:r>
            <w:r>
              <w:rPr>
                <w:rStyle w:val="eop"/>
                <w:rFonts w:ascii="Cambria" w:hAnsi="Cambria"/>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w:t>
            </w:r>
          </w:p>
        </w:tc>
        <w:tc>
          <w:tcPr>
            <w:tcW w:w="20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w:t>
            </w:r>
          </w:p>
        </w:tc>
      </w:tr>
      <w:tr w:rsidR="00000000">
        <w:trPr>
          <w:trHeight w:val="702"/>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60483F"/>
        </w:tc>
        <w:tc>
          <w:tcPr>
            <w:tcW w:w="90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60483F">
            <w:pPr>
              <w:pStyle w:val="ListParagraph"/>
              <w:spacing w:after="0" w:line="240" w:lineRule="auto"/>
              <w:ind w:left="360" w:hanging="360"/>
            </w:pPr>
            <w:r>
              <w:rPr>
                <w:rFonts w:ascii="Times New Roman" w:hAnsi="Times New Roman" w:cs="Times New Roman"/>
              </w:rPr>
              <w:t>c.</w:t>
            </w:r>
            <w:r>
              <w:rPr>
                <w:rFonts w:ascii="Times New Roman" w:hAnsi="Times New Roman" w:cs="Times New Roman"/>
                <w:sz w:val="14"/>
                <w:szCs w:val="14"/>
              </w:rPr>
              <w:t xml:space="preserve">       </w:t>
            </w:r>
            <w:r>
              <w:rPr>
                <w:rStyle w:val="normaltextrun"/>
                <w:rFonts w:ascii="Cambria" w:hAnsi="Cambria"/>
              </w:rPr>
              <w:t xml:space="preserve">Students with disabilities whose current Individualized Education Program </w:t>
            </w:r>
            <w:r>
              <w:rPr>
                <w:rStyle w:val="normaltextrun"/>
                <w:rFonts w:ascii="Cambria" w:hAnsi="Cambria"/>
              </w:rPr>
              <w:t>(IEP) indicates the use of the NCEXTEND1 alternative assessment, have at least a two school-year delay in educational performance, or have received intensive reading interventions for at least two school years.</w:t>
            </w:r>
            <w:r>
              <w:rPr>
                <w:rStyle w:val="eop"/>
                <w:rFonts w:ascii="Cambria" w:hAnsi="Cambria"/>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29</w:t>
            </w:r>
          </w:p>
        </w:tc>
        <w:tc>
          <w:tcPr>
            <w:tcW w:w="20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6.8%</w:t>
            </w:r>
          </w:p>
        </w:tc>
      </w:tr>
      <w:tr w:rsidR="00000000">
        <w:trPr>
          <w:trHeight w:val="702"/>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60483F"/>
        </w:tc>
        <w:tc>
          <w:tcPr>
            <w:tcW w:w="90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60483F">
            <w:pPr>
              <w:pStyle w:val="ListParagraph"/>
              <w:spacing w:after="0" w:line="240" w:lineRule="auto"/>
              <w:ind w:left="360" w:hanging="360"/>
            </w:pPr>
            <w:r>
              <w:rPr>
                <w:rFonts w:ascii="Times New Roman" w:hAnsi="Times New Roman" w:cs="Times New Roman"/>
                <w:lang w:val="en"/>
              </w:rPr>
              <w:t>d.</w:t>
            </w:r>
            <w:r>
              <w:rPr>
                <w:rFonts w:ascii="Times New Roman" w:hAnsi="Times New Roman" w:cs="Times New Roman"/>
                <w:sz w:val="14"/>
                <w:szCs w:val="14"/>
                <w:lang w:val="en"/>
              </w:rPr>
              <w:t xml:space="preserve">       </w:t>
            </w:r>
            <w:r>
              <w:rPr>
                <w:rStyle w:val="normaltextrun"/>
                <w:rFonts w:ascii="Cambria" w:hAnsi="Cambria"/>
              </w:rPr>
              <w:t>Students who have bee</w:t>
            </w:r>
            <w:r>
              <w:rPr>
                <w:rStyle w:val="normaltextrun"/>
                <w:rFonts w:ascii="Cambria" w:hAnsi="Cambria"/>
              </w:rPr>
              <w:t>n previously retained more than once in kindergarten, first, second, or third grades.</w:t>
            </w:r>
            <w:r>
              <w:rPr>
                <w:rStyle w:val="eop"/>
                <w:rFonts w:ascii="Cambria" w:hAnsi="Cambria"/>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w:t>
            </w:r>
          </w:p>
        </w:tc>
        <w:tc>
          <w:tcPr>
            <w:tcW w:w="20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w:t>
            </w:r>
          </w:p>
        </w:tc>
      </w:tr>
      <w:tr w:rsidR="00000000">
        <w:trPr>
          <w:trHeight w:val="702"/>
        </w:trPr>
        <w:tc>
          <w:tcPr>
            <w:tcW w:w="0" w:type="auto"/>
            <w:gridSpan w:val="2"/>
            <w:vMerge/>
            <w:tcBorders>
              <w:top w:val="nil"/>
              <w:left w:val="single" w:sz="8" w:space="0" w:color="auto"/>
              <w:bottom w:val="single" w:sz="8" w:space="0" w:color="auto"/>
              <w:right w:val="single" w:sz="8" w:space="0" w:color="auto"/>
            </w:tcBorders>
            <w:vAlign w:val="center"/>
            <w:hideMark/>
          </w:tcPr>
          <w:p w:rsidR="00000000" w:rsidRDefault="0060483F"/>
        </w:tc>
        <w:tc>
          <w:tcPr>
            <w:tcW w:w="900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60483F">
            <w:pPr>
              <w:pStyle w:val="ListParagraph"/>
              <w:spacing w:after="0" w:line="240" w:lineRule="auto"/>
              <w:ind w:left="360" w:hanging="360"/>
            </w:pPr>
            <w:r>
              <w:rPr>
                <w:rFonts w:ascii="Times New Roman" w:hAnsi="Times New Roman" w:cs="Times New Roman"/>
              </w:rPr>
              <w:t>e.</w:t>
            </w:r>
            <w:r>
              <w:rPr>
                <w:rFonts w:ascii="Times New Roman" w:hAnsi="Times New Roman" w:cs="Times New Roman"/>
                <w:sz w:val="14"/>
                <w:szCs w:val="14"/>
              </w:rPr>
              <w:t xml:space="preserve">       </w:t>
            </w:r>
            <w:r>
              <w:rPr>
                <w:rStyle w:val="normaltextrun"/>
                <w:rFonts w:ascii="Cambria" w:hAnsi="Cambria"/>
              </w:rPr>
              <w:t>Students who demonstrated reading proficiency appropriate for third-grade students through a reading portfolio.</w:t>
            </w:r>
            <w:r>
              <w:rPr>
                <w:rStyle w:val="eop"/>
                <w:rFonts w:ascii="Cambria" w:hAnsi="Cambria"/>
              </w:rPr>
              <w:t> </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w:t>
            </w:r>
          </w:p>
        </w:tc>
        <w:tc>
          <w:tcPr>
            <w:tcW w:w="207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&lt;5%</w:t>
            </w:r>
          </w:p>
        </w:tc>
      </w:tr>
      <w:tr w:rsidR="00000000">
        <w:tc>
          <w:tcPr>
            <w:tcW w:w="1380" w:type="dxa"/>
            <w:vAlign w:val="center"/>
            <w:hideMark/>
          </w:tcPr>
          <w:p w:rsidR="00000000" w:rsidRDefault="0060483F"/>
        </w:tc>
        <w:tc>
          <w:tcPr>
            <w:tcW w:w="60" w:type="dxa"/>
            <w:vAlign w:val="center"/>
            <w:hideMark/>
          </w:tcPr>
          <w:p w:rsidR="00000000" w:rsidRDefault="0060483F">
            <w:pPr>
              <w:rPr>
                <w:rFonts w:eastAsia="Times New Roman"/>
                <w:sz w:val="20"/>
                <w:szCs w:val="20"/>
              </w:rPr>
            </w:pPr>
          </w:p>
        </w:tc>
        <w:tc>
          <w:tcPr>
            <w:tcW w:w="4830" w:type="dxa"/>
            <w:vAlign w:val="center"/>
            <w:hideMark/>
          </w:tcPr>
          <w:p w:rsidR="00000000" w:rsidRDefault="0060483F">
            <w:pPr>
              <w:rPr>
                <w:rFonts w:eastAsia="Times New Roman"/>
                <w:sz w:val="20"/>
                <w:szCs w:val="20"/>
              </w:rPr>
            </w:pPr>
          </w:p>
        </w:tc>
        <w:tc>
          <w:tcPr>
            <w:tcW w:w="4140" w:type="dxa"/>
            <w:vAlign w:val="center"/>
            <w:hideMark/>
          </w:tcPr>
          <w:p w:rsidR="00000000" w:rsidRDefault="0060483F">
            <w:pPr>
              <w:rPr>
                <w:rFonts w:eastAsia="Times New Roman"/>
                <w:sz w:val="20"/>
                <w:szCs w:val="20"/>
              </w:rPr>
            </w:pPr>
          </w:p>
        </w:tc>
        <w:tc>
          <w:tcPr>
            <w:tcW w:w="30" w:type="dxa"/>
            <w:vAlign w:val="center"/>
            <w:hideMark/>
          </w:tcPr>
          <w:p w:rsidR="00000000" w:rsidRDefault="0060483F">
            <w:pPr>
              <w:rPr>
                <w:rFonts w:eastAsia="Times New Roman"/>
                <w:sz w:val="20"/>
                <w:szCs w:val="20"/>
              </w:rPr>
            </w:pPr>
          </w:p>
        </w:tc>
        <w:tc>
          <w:tcPr>
            <w:tcW w:w="1890" w:type="dxa"/>
            <w:vAlign w:val="center"/>
            <w:hideMark/>
          </w:tcPr>
          <w:p w:rsidR="00000000" w:rsidRDefault="0060483F">
            <w:pPr>
              <w:rPr>
                <w:rFonts w:eastAsia="Times New Roman"/>
                <w:sz w:val="20"/>
                <w:szCs w:val="20"/>
              </w:rPr>
            </w:pPr>
          </w:p>
        </w:tc>
        <w:tc>
          <w:tcPr>
            <w:tcW w:w="15" w:type="dxa"/>
            <w:vAlign w:val="center"/>
            <w:hideMark/>
          </w:tcPr>
          <w:p w:rsidR="00000000" w:rsidRDefault="0060483F">
            <w:pPr>
              <w:rPr>
                <w:rFonts w:eastAsia="Times New Roman"/>
                <w:sz w:val="20"/>
                <w:szCs w:val="20"/>
              </w:rPr>
            </w:pPr>
          </w:p>
        </w:tc>
        <w:tc>
          <w:tcPr>
            <w:tcW w:w="2055" w:type="dxa"/>
            <w:vAlign w:val="center"/>
            <w:hideMark/>
          </w:tcPr>
          <w:p w:rsidR="00000000" w:rsidRDefault="0060483F">
            <w:pPr>
              <w:rPr>
                <w:rFonts w:eastAsia="Times New Roman"/>
                <w:sz w:val="20"/>
                <w:szCs w:val="20"/>
              </w:rPr>
            </w:pPr>
          </w:p>
        </w:tc>
      </w:tr>
    </w:tbl>
    <w:p w:rsidR="00000000" w:rsidRDefault="0060483F">
      <w:r>
        <w:rPr>
          <w:rFonts w:ascii="Times New Roman" w:hAnsi="Times New Roman" w:cs="Times New Roman"/>
        </w:rPr>
        <w:t> </w:t>
      </w:r>
    </w:p>
    <w:p w:rsidR="00000000" w:rsidRDefault="0060483F">
      <w:r>
        <w:rPr>
          <w:rFonts w:ascii="Times New Roman" w:hAnsi="Times New Roman" w:cs="Times New Roman"/>
        </w:rPr>
        <w:t> </w:t>
      </w:r>
    </w:p>
    <w:tbl>
      <w:tblPr>
        <w:tblW w:w="14390" w:type="dxa"/>
        <w:tblCellMar>
          <w:left w:w="0" w:type="dxa"/>
          <w:right w:w="0" w:type="dxa"/>
        </w:tblCellMar>
        <w:tblLook w:val="04A0" w:firstRow="1" w:lastRow="0" w:firstColumn="1" w:lastColumn="0" w:noHBand="0" w:noVBand="1"/>
      </w:tblPr>
      <w:tblGrid>
        <w:gridCol w:w="1394"/>
        <w:gridCol w:w="4889"/>
        <w:gridCol w:w="4155"/>
        <w:gridCol w:w="1867"/>
        <w:gridCol w:w="2085"/>
      </w:tblGrid>
      <w:tr w:rsidR="00000000">
        <w:trPr>
          <w:trHeight w:val="1401"/>
        </w:trPr>
        <w:tc>
          <w:tcPr>
            <w:tcW w:w="628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60483F">
            <w:pPr>
              <w:divId w:val="332530448"/>
            </w:pPr>
            <w:r>
              <w:rPr>
                <w:rFonts w:ascii="Times New Roman" w:hAnsi="Times New Roman" w:cs="Times New Roman"/>
                <w:sz w:val="24"/>
                <w:szCs w:val="24"/>
              </w:rPr>
              <w:lastRenderedPageBreak/>
              <w:t> </w:t>
            </w:r>
          </w:p>
          <w:p w:rsidR="00000000" w:rsidRDefault="0060483F">
            <w:pPr>
              <w:divId w:val="332530448"/>
            </w:pPr>
            <w:r>
              <w:rPr>
                <w:rStyle w:val="normaltextrun"/>
                <w:rFonts w:ascii="Cambria" w:hAnsi="Cambria"/>
                <w:b/>
                <w:bCs/>
              </w:rPr>
              <w:t>Hoke County Schools (470)</w:t>
            </w:r>
            <w:r>
              <w:rPr>
                <w:rStyle w:val="normaltextrun"/>
                <w:rFonts w:ascii="Cambria" w:hAnsi="Cambria"/>
                <w:b/>
                <w:bCs/>
              </w:rPr>
              <w:br/>
              <w:t>2021–22</w:t>
            </w:r>
            <w:r>
              <w:rPr>
                <w:rStyle w:val="eop"/>
                <w:rFonts w:ascii="Cambria" w:hAnsi="Cambria"/>
              </w:rPr>
              <w:t> </w:t>
            </w:r>
          </w:p>
          <w:p w:rsidR="00000000" w:rsidRDefault="0060483F">
            <w:r>
              <w:rPr>
                <w:rStyle w:val="normaltextrun"/>
                <w:rFonts w:ascii="Cambria" w:hAnsi="Cambria"/>
                <w:b/>
                <w:bCs/>
              </w:rPr>
              <w:t>Read to Achieve Grade 3 End-of-Year (EOY) Results</w:t>
            </w:r>
            <w:r>
              <w:rPr>
                <w:rStyle w:val="eop"/>
                <w:rFonts w:ascii="Cambria" w:hAnsi="Cambria"/>
              </w:rPr>
              <w:t> </w:t>
            </w:r>
          </w:p>
        </w:tc>
        <w:tc>
          <w:tcPr>
            <w:tcW w:w="810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60483F">
            <w:r>
              <w:rPr>
                <w:rStyle w:val="normaltextrun"/>
                <w:rFonts w:ascii="Cambria" w:hAnsi="Cambria"/>
              </w:rPr>
              <w:t xml:space="preserve">G.S. ?115C-83.10 requires "each local board of education to publish annually on a website maintained by that local school administrative unit and report </w:t>
            </w:r>
            <w:r>
              <w:rPr>
                <w:rStyle w:val="normaltextrun"/>
                <w:rFonts w:ascii="Cambria" w:hAnsi="Cambria"/>
              </w:rPr>
              <w:t>in writing to the State Board of Education (SBE) by September 1</w:t>
            </w:r>
            <w:r>
              <w:rPr>
                <w:rStyle w:val="normaltextrun"/>
                <w:rFonts w:ascii="Cambria" w:hAnsi="Cambria"/>
                <w:b/>
                <w:bCs/>
              </w:rPr>
              <w:t> </w:t>
            </w:r>
            <w:r>
              <w:rPr>
                <w:rStyle w:val="normaltextrun"/>
                <w:rFonts w:ascii="Cambria" w:hAnsi="Cambria"/>
              </w:rPr>
              <w:t>of each year the following information on the prior school year:"</w:t>
            </w:r>
            <w:r>
              <w:rPr>
                <w:rStyle w:val="eop"/>
                <w:rFonts w:ascii="Cambria" w:hAnsi="Cambria"/>
              </w:rPr>
              <w:t> </w:t>
            </w:r>
          </w:p>
        </w:tc>
      </w:tr>
      <w:tr w:rsidR="00000000">
        <w:trPr>
          <w:trHeight w:val="823"/>
        </w:trPr>
        <w:tc>
          <w:tcPr>
            <w:tcW w:w="10438" w:type="dxa"/>
            <w:gridSpan w:val="3"/>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000000" w:rsidRDefault="0060483F">
            <w:r>
              <w:rPr>
                <w:rFonts w:ascii="Times New Roman" w:hAnsi="Times New Roman" w:cs="Times New Roman"/>
                <w:b/>
                <w:bCs/>
                <w:color w:val="000000"/>
                <w:sz w:val="24"/>
                <w:szCs w:val="24"/>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60483F">
            <w:r>
              <w:rPr>
                <w:rStyle w:val="normaltextrun"/>
                <w:rFonts w:ascii="Cambria" w:hAnsi="Cambria"/>
                <w:b/>
                <w:bCs/>
              </w:rPr>
              <w:t>Number of Students</w:t>
            </w:r>
            <w:r>
              <w:rPr>
                <w:rStyle w:val="eop"/>
                <w:rFonts w:ascii="Cambria" w:hAnsi="Cambria"/>
                <w:b/>
                <w:bCs/>
              </w:rPr>
              <w:t> </w:t>
            </w:r>
          </w:p>
        </w:tc>
        <w:tc>
          <w:tcPr>
            <w:tcW w:w="2085"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60483F">
            <w:r>
              <w:rPr>
                <w:rStyle w:val="normaltextrun"/>
                <w:rFonts w:ascii="Cambria" w:hAnsi="Cambria"/>
                <w:b/>
                <w:bCs/>
              </w:rPr>
              <w:t>Percentage of Students</w:t>
            </w:r>
            <w:r>
              <w:rPr>
                <w:rStyle w:val="eop"/>
                <w:rFonts w:ascii="Cambria" w:hAnsi="Cambria"/>
                <w:b/>
                <w:bCs/>
              </w:rPr>
              <w:t> </w:t>
            </w:r>
          </w:p>
        </w:tc>
      </w:tr>
      <w:tr w:rsidR="00000000">
        <w:trPr>
          <w:trHeight w:val="514"/>
        </w:trPr>
        <w:tc>
          <w:tcPr>
            <w:tcW w:w="1439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60483F">
            <w:r>
              <w:rPr>
                <w:rStyle w:val="normaltextrun"/>
                <w:rFonts w:ascii="Cambria" w:hAnsi="Cambria"/>
                <w:color w:val="000000"/>
                <w:shd w:val="clear" w:color="auto" w:fill="FFFFFF"/>
              </w:rPr>
              <w:t xml:space="preserve">The denominator for calculating the required </w:t>
            </w:r>
            <w:r>
              <w:rPr>
                <w:rStyle w:val="normaltextrun"/>
                <w:rFonts w:ascii="Cambria" w:hAnsi="Cambria"/>
                <w:color w:val="000000"/>
                <w:shd w:val="clear" w:color="auto" w:fill="FFFFFF"/>
              </w:rPr>
              <w:t>percentages for rows 4 and 6 are all students in membership at grade 3 for the first day of spring testing. The denominator for this school is 689.</w:t>
            </w:r>
            <w:r>
              <w:rPr>
                <w:rStyle w:val="eop"/>
                <w:rFonts w:ascii="Cambria" w:hAnsi="Cambria"/>
                <w:color w:val="000000"/>
                <w:shd w:val="clear" w:color="auto" w:fill="FFFFFF"/>
              </w:rPr>
              <w:t> </w:t>
            </w:r>
          </w:p>
        </w:tc>
      </w:tr>
      <w:tr w:rsidR="00000000">
        <w:trPr>
          <w:trHeight w:val="989"/>
        </w:trPr>
        <w:tc>
          <w:tcPr>
            <w:tcW w:w="13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4</w:t>
            </w:r>
          </w:p>
        </w:tc>
        <w:tc>
          <w:tcPr>
            <w:tcW w:w="90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r>
              <w:rPr>
                <w:rStyle w:val="normaltextrun"/>
                <w:rFonts w:ascii="Cambria" w:hAnsi="Cambria"/>
                <w:color w:val="000000"/>
              </w:rPr>
              <w:t>The number and percent of students eligible for priority enrollment in reading camp. This number equ</w:t>
            </w:r>
            <w:r>
              <w:rPr>
                <w:rStyle w:val="normaltextrun"/>
                <w:rFonts w:ascii="Cambria" w:hAnsi="Cambria"/>
                <w:color w:val="000000"/>
              </w:rPr>
              <w:t>als row 2 minus the total of rows 3a through 3e.</w:t>
            </w:r>
            <w:r>
              <w:rPr>
                <w:rStyle w:val="eop"/>
                <w:rFonts w:ascii="Cambria" w:hAnsi="Cambria"/>
                <w:color w:val="000000"/>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sz w:val="24"/>
                <w:szCs w:val="24"/>
              </w:rPr>
              <w:t>253</w:t>
            </w:r>
          </w:p>
        </w:tc>
        <w:tc>
          <w:tcPr>
            <w:tcW w:w="2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sz w:val="24"/>
                <w:szCs w:val="24"/>
              </w:rPr>
              <w:t>36.7%</w:t>
            </w:r>
          </w:p>
        </w:tc>
      </w:tr>
      <w:tr w:rsidR="00000000">
        <w:trPr>
          <w:trHeight w:val="514"/>
        </w:trPr>
        <w:tc>
          <w:tcPr>
            <w:tcW w:w="1439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60483F">
            <w:r>
              <w:rPr>
                <w:rStyle w:val="normaltextrun"/>
                <w:rFonts w:ascii="Cambria" w:hAnsi="Cambria"/>
                <w:color w:val="000000"/>
                <w:shd w:val="clear" w:color="auto" w:fill="FFFFFF"/>
              </w:rPr>
              <w:t>The denominator for row 5 is the number of students eligible for priority enrollment in reading camp from row 4.</w:t>
            </w:r>
            <w:r>
              <w:rPr>
                <w:rStyle w:val="eop"/>
                <w:rFonts w:ascii="Cambria" w:hAnsi="Cambria"/>
                <w:color w:val="000000"/>
                <w:shd w:val="clear" w:color="auto" w:fill="FFFFFF"/>
              </w:rPr>
              <w:t> </w:t>
            </w:r>
          </w:p>
        </w:tc>
      </w:tr>
      <w:tr w:rsidR="00000000">
        <w:trPr>
          <w:trHeight w:val="1015"/>
        </w:trPr>
        <w:tc>
          <w:tcPr>
            <w:tcW w:w="13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5</w:t>
            </w:r>
          </w:p>
        </w:tc>
        <w:tc>
          <w:tcPr>
            <w:tcW w:w="90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r>
              <w:rPr>
                <w:rStyle w:val="normaltextrun"/>
                <w:rFonts w:ascii="Cambria" w:hAnsi="Cambria"/>
                <w:color w:val="000000"/>
                <w:shd w:val="clear" w:color="auto" w:fill="FFFFFF"/>
              </w:rPr>
              <w:t xml:space="preserve">The number and percentage of students eligible </w:t>
            </w:r>
            <w:r>
              <w:rPr>
                <w:rStyle w:val="normaltextrun"/>
                <w:rFonts w:ascii="Cambria" w:hAnsi="Cambria"/>
                <w:color w:val="000000"/>
                <w:shd w:val="clear" w:color="auto" w:fill="FFFFFF"/>
              </w:rPr>
              <w:t>for priority enrollment who attended reading camp.</w:t>
            </w:r>
            <w:r>
              <w:rPr>
                <w:rStyle w:val="eop"/>
                <w:rFonts w:ascii="Cambria" w:hAnsi="Cambria"/>
                <w:color w:val="000000"/>
                <w:shd w:val="clear" w:color="auto" w:fill="FFFFFF"/>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sz w:val="24"/>
                <w:szCs w:val="24"/>
              </w:rPr>
              <w:t>99</w:t>
            </w:r>
          </w:p>
        </w:tc>
        <w:tc>
          <w:tcPr>
            <w:tcW w:w="2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sz w:val="24"/>
                <w:szCs w:val="24"/>
              </w:rPr>
              <w:t>39.1%</w:t>
            </w:r>
          </w:p>
        </w:tc>
      </w:tr>
      <w:tr w:rsidR="00000000">
        <w:trPr>
          <w:trHeight w:val="500"/>
        </w:trPr>
        <w:tc>
          <w:tcPr>
            <w:tcW w:w="14390" w:type="dxa"/>
            <w:gridSpan w:val="5"/>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000000" w:rsidRDefault="0060483F">
            <w:pPr>
              <w:jc w:val="center"/>
            </w:pPr>
            <w:r>
              <w:rPr>
                <w:rFonts w:ascii="Times New Roman" w:hAnsi="Times New Roman" w:cs="Times New Roman"/>
                <w:color w:val="000000"/>
                <w:sz w:val="24"/>
                <w:szCs w:val="24"/>
              </w:rPr>
              <w:t> </w:t>
            </w:r>
          </w:p>
        </w:tc>
      </w:tr>
      <w:tr w:rsidR="00000000">
        <w:trPr>
          <w:trHeight w:val="2161"/>
        </w:trPr>
        <w:tc>
          <w:tcPr>
            <w:tcW w:w="13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6</w:t>
            </w:r>
          </w:p>
        </w:tc>
        <w:tc>
          <w:tcPr>
            <w:tcW w:w="90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r>
              <w:rPr>
                <w:rStyle w:val="normaltextrun"/>
                <w:rFonts w:ascii="Cambria" w:hAnsi="Cambria"/>
                <w:color w:val="000000"/>
                <w:shd w:val="clear" w:color="auto" w:fill="FFFFFF"/>
              </w:rPr>
              <w:t xml:space="preserve">Total number and percentage of students retained for not demonstrating reading proficiency on third-grade standards </w:t>
            </w:r>
            <w:r>
              <w:rPr>
                <w:rStyle w:val="normaltextrun"/>
                <w:rFonts w:ascii="Cambria" w:hAnsi="Cambria"/>
                <w:color w:val="000000"/>
                <w:shd w:val="clear" w:color="auto" w:fill="FFFFFF"/>
              </w:rPr>
              <w:t>(students deemed proficient after reading camp are subtracted from this number). Students who are not proficient will be either: [1] retained in a third-grade class, [2] placed in a 3/4 transitional class with a retained label, or [3] placed in a fourth-gr</w:t>
            </w:r>
            <w:r>
              <w:rPr>
                <w:rStyle w:val="normaltextrun"/>
                <w:rFonts w:ascii="Cambria" w:hAnsi="Cambria"/>
                <w:color w:val="000000"/>
                <w:shd w:val="clear" w:color="auto" w:fill="FFFFFF"/>
              </w:rPr>
              <w:t>ade accelerated class with a retained reading label.</w:t>
            </w:r>
            <w:r>
              <w:rPr>
                <w:rStyle w:val="eop"/>
                <w:rFonts w:ascii="Cambria" w:hAnsi="Cambria"/>
                <w:color w:val="000000"/>
                <w:shd w:val="clear" w:color="auto" w:fill="FFFFFF"/>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sz w:val="24"/>
                <w:szCs w:val="24"/>
              </w:rPr>
              <w:t>244</w:t>
            </w:r>
          </w:p>
        </w:tc>
        <w:tc>
          <w:tcPr>
            <w:tcW w:w="2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sz w:val="24"/>
                <w:szCs w:val="24"/>
              </w:rPr>
              <w:t>35.4%</w:t>
            </w:r>
          </w:p>
        </w:tc>
      </w:tr>
      <w:tr w:rsidR="00000000">
        <w:trPr>
          <w:trHeight w:val="397"/>
        </w:trPr>
        <w:tc>
          <w:tcPr>
            <w:tcW w:w="14390" w:type="dxa"/>
            <w:gridSpan w:val="5"/>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000000" w:rsidRDefault="0060483F">
            <w:pPr>
              <w:spacing w:after="200" w:line="276" w:lineRule="auto"/>
              <w:jc w:val="center"/>
            </w:pPr>
            <w:r>
              <w:rPr>
                <w:rFonts w:ascii="Times New Roman" w:hAnsi="Times New Roman" w:cs="Times New Roman"/>
                <w:color w:val="000000"/>
                <w:sz w:val="10"/>
                <w:szCs w:val="10"/>
              </w:rPr>
              <w:t> </w:t>
            </w:r>
          </w:p>
        </w:tc>
      </w:tr>
      <w:tr w:rsidR="00000000">
        <w:trPr>
          <w:trHeight w:val="1235"/>
        </w:trPr>
        <w:tc>
          <w:tcPr>
            <w:tcW w:w="13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7</w:t>
            </w:r>
          </w:p>
        </w:tc>
        <w:tc>
          <w:tcPr>
            <w:tcW w:w="904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r>
              <w:rPr>
                <w:rStyle w:val="normaltextrun"/>
                <w:rFonts w:ascii="Cambria" w:hAnsi="Cambria"/>
                <w:b/>
                <w:bCs/>
                <w:color w:val="000000"/>
                <w:shd w:val="clear" w:color="auto" w:fill="FFFFFF"/>
              </w:rPr>
              <w:t>Charter Schools Only</w:t>
            </w:r>
            <w:r>
              <w:rPr>
                <w:rStyle w:val="normaltextrun"/>
                <w:rFonts w:ascii="Cambria" w:hAnsi="Cambria"/>
                <w:color w:val="000000"/>
                <w:shd w:val="clear" w:color="auto" w:fill="FFFFFF"/>
              </w:rPr>
              <w:t xml:space="preserve">: Charter schools must indicate the number and percentage of retained students recorded in number 6 who do not return to the charter </w:t>
            </w:r>
            <w:r>
              <w:rPr>
                <w:rStyle w:val="normaltextrun"/>
                <w:rFonts w:ascii="Cambria" w:hAnsi="Cambria"/>
                <w:color w:val="000000"/>
                <w:shd w:val="clear" w:color="auto" w:fill="FFFFFF"/>
              </w:rPr>
              <w:t>school for the upcoming school year.</w:t>
            </w:r>
            <w:r>
              <w:rPr>
                <w:rStyle w:val="eop"/>
                <w:rFonts w:ascii="Cambria" w:hAnsi="Cambria"/>
                <w:color w:val="000000"/>
                <w:shd w:val="clear" w:color="auto" w:fill="FFFFFF"/>
              </w:rPr>
              <w:t> </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sz w:val="24"/>
                <w:szCs w:val="24"/>
              </w:rPr>
              <w:t>N/A</w:t>
            </w:r>
          </w:p>
        </w:tc>
        <w:tc>
          <w:tcPr>
            <w:tcW w:w="20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sz w:val="24"/>
                <w:szCs w:val="24"/>
              </w:rPr>
              <w:t>N/A</w:t>
            </w:r>
          </w:p>
        </w:tc>
      </w:tr>
      <w:tr w:rsidR="00000000">
        <w:tc>
          <w:tcPr>
            <w:tcW w:w="1395" w:type="dxa"/>
            <w:vAlign w:val="center"/>
            <w:hideMark/>
          </w:tcPr>
          <w:p w:rsidR="00000000" w:rsidRDefault="0060483F"/>
        </w:tc>
        <w:tc>
          <w:tcPr>
            <w:tcW w:w="4890" w:type="dxa"/>
            <w:vAlign w:val="center"/>
            <w:hideMark/>
          </w:tcPr>
          <w:p w:rsidR="00000000" w:rsidRDefault="0060483F">
            <w:pPr>
              <w:rPr>
                <w:rFonts w:eastAsia="Times New Roman"/>
                <w:sz w:val="20"/>
                <w:szCs w:val="20"/>
              </w:rPr>
            </w:pPr>
          </w:p>
        </w:tc>
        <w:tc>
          <w:tcPr>
            <w:tcW w:w="4155" w:type="dxa"/>
            <w:vAlign w:val="center"/>
            <w:hideMark/>
          </w:tcPr>
          <w:p w:rsidR="00000000" w:rsidRDefault="0060483F">
            <w:pPr>
              <w:rPr>
                <w:rFonts w:eastAsia="Times New Roman"/>
                <w:sz w:val="20"/>
                <w:szCs w:val="20"/>
              </w:rPr>
            </w:pPr>
          </w:p>
        </w:tc>
        <w:tc>
          <w:tcPr>
            <w:tcW w:w="1860" w:type="dxa"/>
            <w:vAlign w:val="center"/>
            <w:hideMark/>
          </w:tcPr>
          <w:p w:rsidR="00000000" w:rsidRDefault="0060483F">
            <w:pPr>
              <w:rPr>
                <w:rFonts w:eastAsia="Times New Roman"/>
                <w:sz w:val="20"/>
                <w:szCs w:val="20"/>
              </w:rPr>
            </w:pPr>
          </w:p>
        </w:tc>
        <w:tc>
          <w:tcPr>
            <w:tcW w:w="2085" w:type="dxa"/>
            <w:vAlign w:val="center"/>
            <w:hideMark/>
          </w:tcPr>
          <w:p w:rsidR="00000000" w:rsidRDefault="0060483F">
            <w:pPr>
              <w:rPr>
                <w:rFonts w:eastAsia="Times New Roman"/>
                <w:sz w:val="20"/>
                <w:szCs w:val="20"/>
              </w:rPr>
            </w:pPr>
          </w:p>
        </w:tc>
      </w:tr>
    </w:tbl>
    <w:p w:rsidR="00000000" w:rsidRDefault="0060483F">
      <w:r>
        <w:rPr>
          <w:rFonts w:ascii="Times New Roman" w:hAnsi="Times New Roman" w:cs="Times New Roman"/>
        </w:rPr>
        <w:t> </w:t>
      </w:r>
    </w:p>
    <w:tbl>
      <w:tblPr>
        <w:tblW w:w="14439" w:type="dxa"/>
        <w:tblCellMar>
          <w:left w:w="0" w:type="dxa"/>
          <w:right w:w="0" w:type="dxa"/>
        </w:tblCellMar>
        <w:tblLook w:val="04A0" w:firstRow="1" w:lastRow="0" w:firstColumn="1" w:lastColumn="0" w:noHBand="0" w:noVBand="1"/>
      </w:tblPr>
      <w:tblGrid>
        <w:gridCol w:w="1400"/>
        <w:gridCol w:w="7145"/>
        <w:gridCol w:w="5894"/>
      </w:tblGrid>
      <w:tr w:rsidR="00000000">
        <w:trPr>
          <w:trHeight w:val="553"/>
        </w:trPr>
        <w:tc>
          <w:tcPr>
            <w:tcW w:w="854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00000" w:rsidRDefault="0060483F">
            <w:r>
              <w:rPr>
                <w:b/>
                <w:bCs/>
                <w:color w:val="000000"/>
              </w:rPr>
              <w:t>State Board of Education-Approved Alternative Assessments</w:t>
            </w:r>
          </w:p>
        </w:tc>
        <w:tc>
          <w:tcPr>
            <w:tcW w:w="58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r>
              <w:rPr>
                <w:rFonts w:ascii="Times New Roman" w:hAnsi="Times New Roman" w:cs="Times New Roman"/>
                <w:b/>
                <w:bCs/>
              </w:rPr>
              <w:t>Number of Students</w:t>
            </w:r>
          </w:p>
          <w:p w:rsidR="00000000" w:rsidRDefault="0060483F">
            <w:r>
              <w:rPr>
                <w:rFonts w:ascii="Times New Roman" w:hAnsi="Times New Roman" w:cs="Times New Roman"/>
                <w:b/>
                <w:bCs/>
              </w:rPr>
              <w:t>Who Passed the Alternative Assessment</w:t>
            </w:r>
            <w:r>
              <w:rPr>
                <w:rFonts w:ascii="Times New Roman" w:hAnsi="Times New Roman" w:cs="Times New Roman"/>
                <w:b/>
                <w:bCs/>
                <w:vertAlign w:val="superscript"/>
              </w:rPr>
              <w:t>1</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Style w:val="normaltextrun"/>
                <w:rFonts w:ascii="Cambria" w:hAnsi="Cambria"/>
              </w:rPr>
              <w:lastRenderedPageBreak/>
              <w:t>1</w:t>
            </w:r>
            <w:r>
              <w:rPr>
                <w:rStyle w:val="eop"/>
                <w:rFonts w:ascii="Cambria" w:hAnsi="Cambria"/>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r>
              <w:rPr>
                <w:rFonts w:ascii="Cambria" w:hAnsi="Cambria"/>
                <w:sz w:val="20"/>
                <w:szCs w:val="20"/>
              </w:rPr>
              <w:t>Northwest Evaluation System?</w:t>
            </w:r>
            <w:r>
              <w:rPr>
                <w:rFonts w:ascii="Cambria" w:hAnsi="Cambria"/>
                <w:i/>
                <w:iCs/>
                <w:sz w:val="20"/>
                <w:szCs w:val="20"/>
              </w:rPr>
              <w:t>Measures of Academic Progress Growth</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Style w:val="normaltextrun"/>
                <w:rFonts w:ascii="Cambria" w:hAnsi="Cambria"/>
              </w:rPr>
              <w:t>2</w:t>
            </w:r>
            <w:r>
              <w:rPr>
                <w:rStyle w:val="eop"/>
                <w:rFonts w:ascii="Cambria" w:hAnsi="Cambria"/>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r>
              <w:rPr>
                <w:rFonts w:ascii="Cambria" w:hAnsi="Cambria"/>
                <w:sz w:val="20"/>
                <w:szCs w:val="20"/>
              </w:rPr>
              <w:t>Houghton Mifflin Harcourt?</w:t>
            </w:r>
            <w:r>
              <w:rPr>
                <w:rFonts w:ascii="Cambria" w:hAnsi="Cambria"/>
                <w:i/>
                <w:iCs/>
                <w:sz w:val="20"/>
                <w:szCs w:val="20"/>
              </w:rPr>
              <w:t>Reading Inventory</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Style w:val="normaltextrun"/>
                <w:rFonts w:ascii="Cambria" w:hAnsi="Cambria"/>
              </w:rPr>
              <w:t>3</w:t>
            </w:r>
            <w:r>
              <w:rPr>
                <w:rStyle w:val="eop"/>
                <w:rFonts w:ascii="Cambria" w:hAnsi="Cambria"/>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r>
              <w:rPr>
                <w:rFonts w:ascii="Cambria" w:hAnsi="Cambria"/>
                <w:sz w:val="20"/>
                <w:szCs w:val="20"/>
              </w:rPr>
              <w:t>STAR Reading</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Style w:val="normaltextrun"/>
                <w:rFonts w:ascii="Cambria" w:hAnsi="Cambria"/>
              </w:rPr>
              <w:t>4</w:t>
            </w:r>
            <w:r>
              <w:rPr>
                <w:rStyle w:val="eop"/>
                <w:rFonts w:ascii="Cambria" w:hAnsi="Cambria"/>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r>
              <w:rPr>
                <w:rFonts w:ascii="Cambria" w:hAnsi="Cambria"/>
                <w:sz w:val="20"/>
                <w:szCs w:val="20"/>
              </w:rPr>
              <w:t>Iowa Assessments</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Style w:val="normaltextrun"/>
                <w:rFonts w:ascii="Cambria" w:hAnsi="Cambria"/>
              </w:rPr>
              <w:t>5</w:t>
            </w:r>
            <w:r>
              <w:rPr>
                <w:rStyle w:val="eop"/>
                <w:rFonts w:ascii="Cambria" w:hAnsi="Cambria"/>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r>
              <w:rPr>
                <w:rFonts w:ascii="Cambria" w:hAnsi="Cambria"/>
                <w:sz w:val="20"/>
                <w:szCs w:val="20"/>
              </w:rPr>
              <w:t>i-Ready</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Style w:val="normaltextrun"/>
                <w:rFonts w:ascii="Cambria" w:hAnsi="Cambria"/>
              </w:rPr>
              <w:t>6</w:t>
            </w:r>
            <w:r>
              <w:rPr>
                <w:rStyle w:val="eop"/>
                <w:rFonts w:ascii="Cambria" w:hAnsi="Cambria"/>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r>
              <w:rPr>
                <w:rFonts w:ascii="Cambria" w:hAnsi="Cambria"/>
                <w:sz w:val="20"/>
                <w:szCs w:val="20"/>
              </w:rPr>
              <w:t>Imagine Learning?</w:t>
            </w:r>
            <w:r>
              <w:rPr>
                <w:rFonts w:ascii="Cambria" w:hAnsi="Cambria"/>
                <w:i/>
                <w:iCs/>
                <w:sz w:val="20"/>
                <w:szCs w:val="20"/>
              </w:rPr>
              <w:t>Reading Level Assessment</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Style w:val="normaltextrun"/>
                <w:rFonts w:ascii="Cambria" w:hAnsi="Cambria"/>
              </w:rPr>
              <w:t>7</w:t>
            </w:r>
            <w:r>
              <w:rPr>
                <w:rStyle w:val="eop"/>
                <w:rFonts w:ascii="Cambria" w:hAnsi="Cambria"/>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r>
              <w:rPr>
                <w:rFonts w:ascii="Cambria" w:hAnsi="Cambria"/>
                <w:sz w:val="20"/>
                <w:szCs w:val="20"/>
              </w:rPr>
              <w:t>Achieve3000</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Style w:val="normaltextrun"/>
                <w:rFonts w:ascii="Cambria" w:hAnsi="Cambria"/>
              </w:rPr>
              <w:t>8</w:t>
            </w:r>
            <w:r>
              <w:rPr>
                <w:rStyle w:val="eop"/>
                <w:rFonts w:ascii="Cambria" w:hAnsi="Cambria"/>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r>
              <w:rPr>
                <w:rFonts w:ascii="Cambria" w:hAnsi="Cambria"/>
                <w:sz w:val="20"/>
                <w:szCs w:val="20"/>
              </w:rPr>
              <w:t>Instructure?</w:t>
            </w:r>
            <w:r>
              <w:rPr>
                <w:rFonts w:ascii="Cambria" w:hAnsi="Cambria"/>
                <w:i/>
                <w:iCs/>
                <w:sz w:val="20"/>
                <w:szCs w:val="20"/>
              </w:rPr>
              <w:t>CASE Benchmark Assessment</w:t>
            </w:r>
            <w:r>
              <w:rPr>
                <w:rFonts w:ascii="Cambria" w:hAnsi="Cambria"/>
                <w:sz w:val="20"/>
                <w:szCs w:val="20"/>
              </w:rPr>
              <w:t xml:space="preserve"> </w:t>
            </w:r>
            <w:r>
              <w:rPr>
                <w:rFonts w:ascii="Cambria" w:hAnsi="Cambria"/>
                <w:sz w:val="20"/>
                <w:szCs w:val="20"/>
              </w:rPr>
              <w:t>(previously known as Case 21 Assessment)</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Style w:val="normaltextrun"/>
                <w:rFonts w:ascii="Cambria" w:hAnsi="Cambria"/>
              </w:rPr>
              <w:t>9</w:t>
            </w:r>
            <w:r>
              <w:rPr>
                <w:rStyle w:val="eop"/>
                <w:rFonts w:ascii="Cambria" w:hAnsi="Cambria"/>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r>
              <w:rPr>
                <w:rFonts w:ascii="Cambria" w:hAnsi="Cambria"/>
                <w:sz w:val="20"/>
                <w:szCs w:val="20"/>
              </w:rPr>
              <w:t>Edmentum?</w:t>
            </w:r>
            <w:r>
              <w:rPr>
                <w:rFonts w:ascii="Cambria" w:hAnsi="Cambria"/>
                <w:i/>
                <w:iCs/>
                <w:sz w:val="20"/>
                <w:szCs w:val="20"/>
              </w:rPr>
              <w:t>Exact Path Individualize Learning Solution</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Style w:val="normaltextrun"/>
                <w:rFonts w:ascii="Cambria" w:hAnsi="Cambria"/>
              </w:rPr>
              <w:t>10</w:t>
            </w:r>
            <w:r>
              <w:rPr>
                <w:rStyle w:val="eop"/>
                <w:rFonts w:ascii="Cambria" w:hAnsi="Cambria"/>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r>
              <w:rPr>
                <w:rFonts w:ascii="Cambria" w:hAnsi="Cambria"/>
                <w:sz w:val="20"/>
                <w:szCs w:val="20"/>
              </w:rPr>
              <w:t>Lexia Learning?</w:t>
            </w:r>
            <w:r>
              <w:rPr>
                <w:rFonts w:ascii="Cambria" w:hAnsi="Cambria"/>
                <w:i/>
                <w:iCs/>
                <w:sz w:val="20"/>
                <w:szCs w:val="20"/>
              </w:rPr>
              <w:t>RAPID Assessment</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Style w:val="normaltextrun"/>
                <w:rFonts w:ascii="Cambria" w:hAnsi="Cambria"/>
              </w:rPr>
              <w:t>11</w:t>
            </w:r>
            <w:r>
              <w:rPr>
                <w:rStyle w:val="eop"/>
                <w:rFonts w:ascii="Cambria" w:hAnsi="Cambria"/>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r>
              <w:rPr>
                <w:rFonts w:ascii="Cambria" w:hAnsi="Cambria"/>
                <w:sz w:val="20"/>
                <w:szCs w:val="20"/>
              </w:rPr>
              <w:t>Imagine Learning?</w:t>
            </w:r>
            <w:r>
              <w:rPr>
                <w:rFonts w:ascii="Cambria" w:hAnsi="Cambria"/>
                <w:i/>
                <w:iCs/>
                <w:color w:val="313131"/>
                <w:sz w:val="20"/>
                <w:szCs w:val="20"/>
              </w:rPr>
              <w:t>Galileo English Language Arts/Reading Assessment</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Style w:val="normaltextrun"/>
                <w:rFonts w:ascii="Cambria" w:hAnsi="Cambria"/>
              </w:rPr>
              <w:t>12</w:t>
            </w:r>
            <w:r>
              <w:rPr>
                <w:rStyle w:val="eop"/>
                <w:rFonts w:ascii="Cambria" w:hAnsi="Cambria"/>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r>
              <w:rPr>
                <w:rFonts w:ascii="Cambria" w:hAnsi="Cambria"/>
                <w:sz w:val="20"/>
                <w:szCs w:val="20"/>
              </w:rPr>
              <w:t xml:space="preserve">Acadience Reading </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Style w:val="normaltextrun"/>
                <w:rFonts w:ascii="Cambria" w:hAnsi="Cambria"/>
              </w:rPr>
              <w:t>13</w:t>
            </w:r>
            <w:r>
              <w:rPr>
                <w:rStyle w:val="eop"/>
                <w:rFonts w:ascii="Cambria" w:hAnsi="Cambria"/>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r>
              <w:rPr>
                <w:rFonts w:ascii="Cambria" w:hAnsi="Cambria"/>
                <w:sz w:val="20"/>
                <w:szCs w:val="20"/>
              </w:rPr>
              <w:t>FastBridge?</w:t>
            </w:r>
            <w:r>
              <w:rPr>
                <w:rFonts w:ascii="Cambria" w:hAnsi="Cambria"/>
                <w:i/>
                <w:iCs/>
                <w:sz w:val="20"/>
                <w:szCs w:val="20"/>
              </w:rPr>
              <w:t>FastBridge aReading</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N/A</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Style w:val="normaltextrun"/>
                <w:rFonts w:ascii="Cambria" w:hAnsi="Cambria"/>
              </w:rPr>
              <w:t>14</w:t>
            </w:r>
            <w:r>
              <w:rPr>
                <w:rStyle w:val="eop"/>
                <w:rFonts w:ascii="Cambria" w:hAnsi="Cambria"/>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r>
              <w:rPr>
                <w:rFonts w:ascii="Cambria" w:hAnsi="Cambria"/>
                <w:color w:val="222222"/>
                <w:sz w:val="20"/>
                <w:szCs w:val="20"/>
              </w:rPr>
              <w:t>Imagination Station?</w:t>
            </w:r>
            <w:r>
              <w:rPr>
                <w:rFonts w:ascii="Cambria" w:hAnsi="Cambria"/>
                <w:i/>
                <w:iCs/>
                <w:color w:val="222222"/>
                <w:sz w:val="20"/>
                <w:szCs w:val="20"/>
              </w:rPr>
              <w:t>Istation's Indicators of Progress (ISIP</w:t>
            </w:r>
            <w:r>
              <w:rPr>
                <w:rFonts w:ascii="Cambria" w:hAnsi="Cambria"/>
                <w:i/>
                <w:iCs/>
                <w:color w:val="222222"/>
                <w:sz w:val="20"/>
                <w:szCs w:val="20"/>
                <w:vertAlign w:val="superscript"/>
              </w:rPr>
              <w:t>TM</w:t>
            </w:r>
            <w:r>
              <w:rPr>
                <w:rFonts w:ascii="Cambria" w:hAnsi="Cambria"/>
                <w:i/>
                <w:iCs/>
                <w:color w:val="222222"/>
                <w:sz w:val="20"/>
                <w:szCs w:val="20"/>
              </w:rPr>
              <w:t>) Reading</w:t>
            </w:r>
            <w:r>
              <w:rPr>
                <w:rFonts w:ascii="Cambria" w:hAnsi="Cambria"/>
                <w:i/>
                <w:iCs/>
                <w:color w:val="222222"/>
                <w:sz w:val="20"/>
                <w:szCs w:val="20"/>
                <w:vertAlign w:val="superscript"/>
              </w:rPr>
              <w:t>3</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w:t>
            </w:r>
          </w:p>
        </w:tc>
      </w:tr>
      <w:tr w:rsidR="00000000">
        <w:trPr>
          <w:trHeight w:val="415"/>
        </w:trPr>
        <w:tc>
          <w:tcPr>
            <w:tcW w:w="14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Style w:val="normaltextrun"/>
                <w:rFonts w:ascii="Cambria" w:hAnsi="Cambria"/>
              </w:rPr>
              <w:t>15</w:t>
            </w:r>
            <w:r>
              <w:rPr>
                <w:rStyle w:val="eop"/>
                <w:rFonts w:ascii="Cambria" w:hAnsi="Cambria"/>
              </w:rPr>
              <w:t> </w:t>
            </w:r>
          </w:p>
        </w:tc>
        <w:tc>
          <w:tcPr>
            <w:tcW w:w="71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r>
              <w:rPr>
                <w:rFonts w:ascii="Cambria" w:hAnsi="Cambria"/>
                <w:color w:val="222222"/>
                <w:sz w:val="20"/>
                <w:szCs w:val="20"/>
              </w:rPr>
              <w:t xml:space="preserve">Other (Charter Schools </w:t>
            </w:r>
            <w:r>
              <w:rPr>
                <w:rFonts w:ascii="Cambria" w:hAnsi="Cambria"/>
                <w:i/>
                <w:iCs/>
                <w:color w:val="222222"/>
                <w:sz w:val="20"/>
                <w:szCs w:val="20"/>
              </w:rPr>
              <w:t>Only</w:t>
            </w:r>
            <w:r>
              <w:rPr>
                <w:rFonts w:ascii="Cambria" w:hAnsi="Cambria"/>
                <w:color w:val="222222"/>
                <w:sz w:val="20"/>
                <w:szCs w:val="20"/>
              </w:rPr>
              <w:t>)</w:t>
            </w:r>
          </w:p>
        </w:tc>
        <w:tc>
          <w:tcPr>
            <w:tcW w:w="58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000" w:rsidRDefault="0060483F">
            <w:pPr>
              <w:jc w:val="center"/>
            </w:pPr>
            <w:r>
              <w:rPr>
                <w:rFonts w:ascii="Times New Roman" w:hAnsi="Times New Roman" w:cs="Times New Roman"/>
              </w:rPr>
              <w:t>N/A</w:t>
            </w:r>
          </w:p>
        </w:tc>
      </w:tr>
    </w:tbl>
    <w:p w:rsidR="00000000" w:rsidRDefault="0060483F">
      <w:pPr>
        <w:spacing w:line="240" w:lineRule="atLeast"/>
      </w:pPr>
      <w:r>
        <w:rPr>
          <w:rFonts w:ascii="Times New Roman" w:hAnsi="Times New Roman" w:cs="Times New Roman"/>
          <w:color w:val="061D26"/>
          <w:shd w:val="clear" w:color="auto" w:fill="FFFFFF"/>
        </w:rPr>
        <w:t> </w:t>
      </w:r>
    </w:p>
    <w:p w:rsidR="00000000" w:rsidRDefault="0060483F">
      <w:pPr>
        <w:ind w:left="120" w:right="585"/>
        <w:textAlignment w:val="baseline"/>
      </w:pPr>
      <w:r>
        <w:rPr>
          <w:rFonts w:ascii="Cambria" w:hAnsi="Cambria"/>
          <w:color w:val="061D26"/>
          <w:sz w:val="12"/>
          <w:szCs w:val="12"/>
        </w:rPr>
        <w:t>1</w:t>
      </w:r>
      <w:r>
        <w:rPr>
          <w:rFonts w:ascii="Cambria" w:hAnsi="Cambria"/>
          <w:color w:val="061D26"/>
          <w:sz w:val="18"/>
          <w:szCs w:val="18"/>
        </w:rPr>
        <w:t xml:space="preserve">The number of students who passed each alternative assessment is denoted in this column. If </w:t>
      </w:r>
      <w:r>
        <w:rPr>
          <w:rFonts w:ascii="Cambria" w:hAnsi="Cambria"/>
          <w:color w:val="061D26"/>
          <w:sz w:val="18"/>
          <w:szCs w:val="18"/>
        </w:rPr>
        <w:t>the approved alternative assessment was not used, N/A is shown. If the number of students who passed the alternative assessment is fewer than ten students, an asterisk (*) is shown. </w:t>
      </w:r>
    </w:p>
    <w:p w:rsidR="00000000" w:rsidRDefault="0060483F">
      <w:pPr>
        <w:textAlignment w:val="baseline"/>
      </w:pPr>
      <w:r>
        <w:rPr>
          <w:rFonts w:ascii="Cambria" w:hAnsi="Cambria"/>
          <w:sz w:val="18"/>
          <w:szCs w:val="18"/>
        </w:rPr>
        <w:t> </w:t>
      </w:r>
    </w:p>
    <w:p w:rsidR="00000000" w:rsidRDefault="0060483F">
      <w:pPr>
        <w:ind w:left="120"/>
        <w:textAlignment w:val="baseline"/>
      </w:pPr>
      <w:r>
        <w:rPr>
          <w:rFonts w:ascii="Cambria" w:hAnsi="Cambria"/>
          <w:color w:val="061D26"/>
          <w:sz w:val="18"/>
          <w:szCs w:val="18"/>
          <w:u w:val="single"/>
        </w:rPr>
        <w:t>Note</w:t>
      </w:r>
      <w:r>
        <w:rPr>
          <w:rFonts w:ascii="Cambria" w:hAnsi="Cambria"/>
          <w:color w:val="061D26"/>
          <w:sz w:val="18"/>
          <w:szCs w:val="18"/>
        </w:rPr>
        <w:t>: Privacy policies dictate that for less than ten students, the spe</w:t>
      </w:r>
      <w:r>
        <w:rPr>
          <w:rFonts w:ascii="Cambria" w:hAnsi="Cambria"/>
          <w:color w:val="061D26"/>
          <w:sz w:val="18"/>
          <w:szCs w:val="18"/>
        </w:rPr>
        <w:t>cific number and percentage should not be given. An * indicates that the student population number and percentage is too small to report the value. The percentage and number of students are not shown if the percentage is greater than 95 percent (&gt;95) or le</w:t>
      </w:r>
      <w:r>
        <w:rPr>
          <w:rFonts w:ascii="Cambria" w:hAnsi="Cambria"/>
          <w:color w:val="061D26"/>
          <w:sz w:val="18"/>
          <w:szCs w:val="18"/>
        </w:rPr>
        <w:t>ss than 5 percent (&lt;5). </w:t>
      </w:r>
    </w:p>
    <w:p w:rsidR="00000000" w:rsidRDefault="0060483F">
      <w:pPr>
        <w:ind w:left="120"/>
        <w:textAlignment w:val="baseline"/>
      </w:pPr>
      <w:r>
        <w:rPr>
          <w:rFonts w:ascii="Segoe UI" w:hAnsi="Segoe UI" w:cs="Segoe UI"/>
          <w:sz w:val="18"/>
          <w:szCs w:val="18"/>
        </w:rPr>
        <w:t> </w:t>
      </w:r>
    </w:p>
    <w:p w:rsidR="00000000" w:rsidRDefault="0060483F">
      <w:pPr>
        <w:ind w:left="120"/>
        <w:textAlignment w:val="baseline"/>
      </w:pPr>
      <w:r>
        <w:rPr>
          <w:rFonts w:ascii="Segoe UI" w:hAnsi="Segoe UI" w:cs="Segoe UI"/>
          <w:sz w:val="18"/>
          <w:szCs w:val="18"/>
        </w:rPr>
        <w:t> </w:t>
      </w:r>
    </w:p>
    <w:p w:rsidR="00000000" w:rsidRDefault="0060483F">
      <w:pPr>
        <w:ind w:left="120"/>
        <w:textAlignment w:val="baseline"/>
      </w:pPr>
      <w:r>
        <w:rPr>
          <w:rFonts w:ascii="Segoe UI" w:hAnsi="Segoe UI" w:cs="Segoe UI"/>
          <w:sz w:val="18"/>
          <w:szCs w:val="18"/>
        </w:rPr>
        <w:t> </w:t>
      </w:r>
    </w:p>
    <w:p w:rsidR="00000000" w:rsidRDefault="0060483F">
      <w:r>
        <w:rPr>
          <w:rFonts w:ascii="Times New Roman" w:hAnsi="Times New Roman" w:cs="Times New Roman"/>
        </w:rPr>
        <w:t> </w:t>
      </w:r>
    </w:p>
    <w:p w:rsidR="0060483F" w:rsidRDefault="0060483F">
      <w:r>
        <w:rPr>
          <w:rFonts w:ascii="Times New Roman" w:hAnsi="Times New Roman" w:cs="Times New Roman"/>
        </w:rPr>
        <w:t> </w:t>
      </w:r>
    </w:p>
    <w:sectPr w:rsidR="0060483F" w:rsidSect="00185A7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4725D"/>
    <w:rsid w:val="00185A75"/>
    <w:rsid w:val="0060483F"/>
    <w:rsid w:val="00F4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271DFD-5E61-4ECA-BE6D-783C8842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u w:val="single"/>
    </w:rPr>
  </w:style>
  <w:style w:type="character" w:styleId="FollowedHyperlink">
    <w:name w:val="FollowedHyperlink"/>
    <w:basedOn w:val="DefaultParagraphFont"/>
    <w:uiPriority w:val="99"/>
    <w:semiHidden/>
    <w:unhideWhenUsed/>
    <w:rPr>
      <w:color w:val="954F72"/>
      <w:u w:val="single"/>
    </w:rPr>
  </w:style>
  <w:style w:type="paragraph" w:customStyle="1" w:styleId="msonormal0">
    <w:name w:val="msonormal"/>
    <w:basedOn w:val="Normal"/>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pPr>
      <w:spacing w:after="200" w:line="276" w:lineRule="auto"/>
      <w:ind w:left="720"/>
    </w:pPr>
  </w:style>
  <w:style w:type="paragraph" w:customStyle="1" w:styleId="paragraph">
    <w:name w:val="paragraph"/>
    <w:basedOn w:val="Normal"/>
    <w:pPr>
      <w:spacing w:before="100" w:beforeAutospacing="1" w:after="100" w:afterAutospacing="1"/>
    </w:pPr>
    <w:rPr>
      <w:rFonts w:ascii="Times New Roman" w:hAnsi="Times New Roman" w:cs="Times New Roman"/>
      <w:sz w:val="24"/>
      <w:szCs w:val="24"/>
    </w:rPr>
  </w:style>
  <w:style w:type="paragraph" w:customStyle="1" w:styleId="msochpdefault">
    <w:name w:val="msochpdefault"/>
    <w:basedOn w:val="Normal"/>
    <w:pPr>
      <w:spacing w:before="100" w:beforeAutospacing="1" w:after="100" w:afterAutospacing="1"/>
    </w:pPr>
    <w:rPr>
      <w:sz w:val="20"/>
      <w:szCs w:val="20"/>
    </w:rPr>
  </w:style>
  <w:style w:type="character" w:customStyle="1" w:styleId="normaltextrun">
    <w:name w:val="normaltextrun"/>
    <w:basedOn w:val="DefaultParagraphFont"/>
  </w:style>
  <w:style w:type="character" w:customStyle="1" w:styleId="eop">
    <w:name w:val="eop"/>
    <w:basedOn w:val="DefaultParagraphFont"/>
  </w:style>
  <w:style w:type="paragraph" w:styleId="BalloonText">
    <w:name w:val="Balloon Text"/>
    <w:basedOn w:val="Normal"/>
    <w:link w:val="BalloonTextChar"/>
    <w:uiPriority w:val="99"/>
    <w:semiHidden/>
    <w:unhideWhenUsed/>
    <w:rsid w:val="00185A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A7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8613">
      <w:marLeft w:val="0"/>
      <w:marRight w:val="0"/>
      <w:marTop w:val="0"/>
      <w:marBottom w:val="0"/>
      <w:divBdr>
        <w:top w:val="none" w:sz="0" w:space="0" w:color="auto"/>
        <w:left w:val="none" w:sz="0" w:space="0" w:color="auto"/>
        <w:bottom w:val="none" w:sz="0" w:space="0" w:color="auto"/>
        <w:right w:val="none" w:sz="0" w:space="0" w:color="auto"/>
      </w:divBdr>
    </w:div>
    <w:div w:id="332530448">
      <w:marLeft w:val="0"/>
      <w:marRight w:val="0"/>
      <w:marTop w:val="0"/>
      <w:marBottom w:val="0"/>
      <w:divBdr>
        <w:top w:val="none" w:sz="0" w:space="0" w:color="auto"/>
        <w:left w:val="none" w:sz="0" w:space="0" w:color="auto"/>
        <w:bottom w:val="none" w:sz="0" w:space="0" w:color="auto"/>
        <w:right w:val="none" w:sz="0" w:space="0" w:color="auto"/>
      </w:divBdr>
    </w:div>
    <w:div w:id="410469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DMCMENAMIN@hcs.k12.nc.us</dc:creator>
  <cp:keywords/>
  <dc:description/>
  <cp:lastModifiedBy>DMCMENAMIN@hcs.k12.nc.us</cp:lastModifiedBy>
  <cp:revision>3</cp:revision>
  <cp:lastPrinted>2022-08-15T11:51:00Z</cp:lastPrinted>
  <dcterms:created xsi:type="dcterms:W3CDTF">2022-08-15T11:50:00Z</dcterms:created>
  <dcterms:modified xsi:type="dcterms:W3CDTF">2022-08-15T11:51:00Z</dcterms:modified>
</cp:coreProperties>
</file>